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28"/>
          <w:szCs w:val="28"/>
        </w:rPr>
      </w:pPr>
    </w:p>
    <w:p>
      <w:pPr>
        <w:spacing w:before="624" w:beforeLines="200"/>
        <w:jc w:val="center"/>
        <w:rPr>
          <w:rFonts w:ascii="黑体" w:eastAsia="黑体"/>
          <w:b/>
          <w:color w:val="EE0000"/>
          <w:spacing w:val="26"/>
          <w:kern w:val="10"/>
          <w:sz w:val="72"/>
          <w:szCs w:val="84"/>
        </w:rPr>
      </w:pPr>
      <w:r>
        <w:pict>
          <v:shape id="_x0000_s2053" o:spid="_x0000_s2053" o:spt="136" type="#_x0000_t136" style="position:absolute;left:0pt;margin-left:-20.25pt;margin-top:77.6pt;height:42.75pt;width:459.75pt;z-index:251660288;mso-width-relative:page;mso-height-relative:page;" fillcolor="#FF0000" filled="t" coordsize="21600,21600">
            <v:path/>
            <v:fill on="t" focussize="0,0"/>
            <v:stroke color="#FF0000"/>
            <v:imagedata o:title=""/>
            <o:lock v:ext="edit"/>
            <v:textpath on="t" fitshape="t" fitpath="t" trim="t" xscale="f" string="中国注册税务师协会文件" style="font-family:黑体;font-size:40pt;v-text-align:center;"/>
          </v:shape>
        </w:pict>
      </w:r>
    </w:p>
    <w:p>
      <w:pPr>
        <w:spacing w:line="360" w:lineRule="auto"/>
        <w:jc w:val="center"/>
        <w:rPr>
          <w:rFonts w:ascii="黑体" w:eastAsia="黑体"/>
          <w:b/>
          <w:color w:val="EE0000"/>
          <w:kern w:val="10"/>
          <w:sz w:val="84"/>
          <w:szCs w:val="84"/>
        </w:rPr>
      </w:pPr>
    </w:p>
    <w:p>
      <w:pPr>
        <w:jc w:val="center"/>
        <w:rPr>
          <w:rFonts w:ascii="黑体" w:eastAsia="黑体"/>
          <w:b/>
          <w:color w:val="EE0000"/>
          <w:kern w:val="10"/>
          <w:sz w:val="72"/>
          <w:szCs w:val="72"/>
        </w:rPr>
      </w:pPr>
    </w:p>
    <w:p>
      <w:pPr>
        <w:spacing w:line="360" w:lineRule="auto"/>
        <w:jc w:val="center"/>
        <w:rPr>
          <w:rFonts w:ascii="仿宋" w:hAnsi="仿宋" w:eastAsia="仿宋"/>
          <w:b/>
          <w:kern w:val="10"/>
          <w:sz w:val="32"/>
          <w:szCs w:val="32"/>
        </w:rPr>
      </w:pPr>
      <w:bookmarkStart w:id="0" w:name="文号"/>
      <w:r>
        <w:rPr>
          <w:rFonts w:hint="eastAsia" w:ascii="仿宋" w:hAnsi="仿宋" w:eastAsia="仿宋"/>
          <w:b/>
          <w:kern w:val="10"/>
          <w:sz w:val="32"/>
          <w:szCs w:val="32"/>
        </w:rPr>
        <w:t>中税协发〔</w:t>
      </w:r>
      <w:r>
        <w:rPr>
          <w:rFonts w:ascii="仿宋" w:hAnsi="仿宋" w:eastAsia="仿宋"/>
          <w:b/>
          <w:kern w:val="10"/>
          <w:sz w:val="32"/>
          <w:szCs w:val="32"/>
        </w:rPr>
        <w:t>2024〕7号</w:t>
      </w:r>
      <w:bookmarkEnd w:id="0"/>
    </w:p>
    <w:p>
      <w:pPr>
        <w:widowControl/>
        <w:spacing w:line="360" w:lineRule="auto"/>
        <w:jc w:val="center"/>
        <w:rPr>
          <w:rFonts w:ascii="黑体" w:hAnsi="黑体" w:eastAsia="黑体"/>
          <w:b/>
          <w:bCs/>
          <w:kern w:val="10"/>
          <w:sz w:val="32"/>
          <w:szCs w:val="32"/>
        </w:rPr>
      </w:pPr>
      <w:r>
        <w:rPr>
          <w:rFonts w:ascii="黑体" w:eastAsia="黑体"/>
          <w:b/>
          <w:kern w:val="10"/>
          <w:sz w:val="32"/>
          <w:szCs w:val="32"/>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57785</wp:posOffset>
                </wp:positionV>
                <wp:extent cx="5715000" cy="26035"/>
                <wp:effectExtent l="0" t="19050" r="0" b="31115"/>
                <wp:wrapNone/>
                <wp:docPr id="1" name="直线 2"/>
                <wp:cNvGraphicFramePr/>
                <a:graphic xmlns:a="http://schemas.openxmlformats.org/drawingml/2006/main">
                  <a:graphicData uri="http://schemas.microsoft.com/office/word/2010/wordprocessingShape">
                    <wps:wsp>
                      <wps:cNvCnPr/>
                      <wps:spPr>
                        <a:xfrm flipV="1">
                          <a:off x="0" y="0"/>
                          <a:ext cx="5715000" cy="26035"/>
                        </a:xfrm>
                        <a:prstGeom prst="line">
                          <a:avLst/>
                        </a:prstGeom>
                        <a:ln w="38100" cap="flat" cmpd="sng">
                          <a:solidFill>
                            <a:srgbClr val="D2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6pt;margin-top:4.55pt;height:2.05pt;width:450pt;z-index:251659264;mso-width-relative:page;mso-height-relative:page;" filled="f" stroked="t" coordsize="21600,21600" o:gfxdata="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3zU1AAAAAcBAAAPAAAAAAAAAAEAIAAAACIAAABkcnMvZG93bnJldi54bWxQSwECFAAUAAAA&#10;CACHTuJAuGhaE/IBAADqAwAADgAAAAAAAAABACAAAAAjAQAAZHJzL2Uyb0RvYy54bWxQSwUGAAAA&#10;AAYABgBZAQAAhwUAAAAA&#10;">
                <v:fill on="f" focussize="0,0"/>
                <v:stroke weight="3pt" color="#D20000" joinstyle="round"/>
                <v:imagedata o:title=""/>
                <o:lock v:ext="edit" aspectratio="f"/>
              </v:line>
            </w:pict>
          </mc:Fallback>
        </mc:AlternateContent>
      </w:r>
      <w:r>
        <w:rPr>
          <w:rFonts w:hint="eastAsia" w:ascii="黑体" w:hAnsi="黑体" w:eastAsia="黑体"/>
          <w:b/>
          <w:bCs/>
          <w:kern w:val="10"/>
          <w:sz w:val="32"/>
          <w:szCs w:val="32"/>
        </w:rPr>
        <w:t xml:space="preserve">  </w:t>
      </w:r>
    </w:p>
    <w:p>
      <w:pPr>
        <w:tabs>
          <w:tab w:val="left" w:pos="420"/>
          <w:tab w:val="left" w:pos="9240"/>
        </w:tabs>
        <w:spacing w:line="360" w:lineRule="auto"/>
        <w:jc w:val="center"/>
        <w:rPr>
          <w:rFonts w:ascii="宋体" w:hAnsi="宋体"/>
          <w:b/>
          <w:bCs/>
          <w:kern w:val="10"/>
          <w:sz w:val="44"/>
          <w:szCs w:val="44"/>
        </w:rPr>
      </w:pPr>
      <w:bookmarkStart w:id="1" w:name="发文标题"/>
      <w:r>
        <w:rPr>
          <w:rFonts w:hint="eastAsia" w:ascii="宋体" w:hAnsi="宋体"/>
          <w:b/>
          <w:bCs/>
          <w:kern w:val="10"/>
          <w:sz w:val="44"/>
          <w:szCs w:val="44"/>
        </w:rPr>
        <w:t>关于发挥税务师行业作用</w:t>
      </w:r>
      <w:r>
        <w:rPr>
          <w:rFonts w:ascii="宋体" w:hAnsi="宋体"/>
          <w:b/>
          <w:bCs/>
          <w:kern w:val="10"/>
          <w:sz w:val="44"/>
          <w:szCs w:val="44"/>
        </w:rPr>
        <w:t xml:space="preserve"> 助力“便民办税春风行动”落实的通知</w:t>
      </w:r>
      <w:bookmarkEnd w:id="1"/>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各省、自治区、直辖市和计划单列市注册税务师协会：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近日，国家税务总局印发《关于开展2024年“便民办税春风行动”的意见》（以下简称《意见》），以“持续提升效能·办好为民实事”为主题，紧紧围绕推动国务院“高效办成一件事”部署在税务系统落地见效，集成推出系列惠民利企服务举措，进一步提高纳税人缴费人获得感、满意度。为切实发挥税务师行业职能作用，更好融入税收共治格局，助力“便民办税春风行动”落实，现将有关事项通知如下：</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一、提高认识 充分理解“便民办税春风行动”的重要意义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今年的“便民办税春风行动”以习近平新时代中国特色社会主义思想为指导，树牢主动服务纳税人缴费人意识，强化科技支撑、数字赋能，围绕“进一步夯实税费服务供给基础”“进一步提升税费服务诉求响应”“进一步强化税费服务数字赋能”“进一步推进税费服务方式创新”4个方面，集成推出系列服务举措，着力提升税务行政效能，助力各类经营主体活力激发，服务新质生产力发展，高质量推进中国式现代化税务实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各级注册税务师协会要认真组织税务师事务所学习《意见》要求，对《意见》有关举措落地中的堵点难点，要及时向税务机关沟通反馈，切实发挥涉税专业服务优势和税企桥梁纽带作用，助力推动惠企政策和便民服务举措直达经营主体。要加强统筹规划并制定实施方案，积极拓展服务方式、服务内容和服务渠道，总结推广行之有效的落实举措和纳税人缴费人高度认可的创新举措。主动开展多种形式的宣传报道，加大对成功经验、有效做法的宣介力度，营造协同共治、共谋发展的良好社会氛围。</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二、积极履行社会责任 倡导税务师志愿服务</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（一）不断壮大志愿服务队伍。</w:t>
      </w:r>
      <w:r>
        <w:rPr>
          <w:rFonts w:hint="eastAsia" w:ascii="仿宋_GB2312" w:hAnsi="仿宋_GB2312" w:eastAsia="仿宋_GB2312" w:cs="仿宋_GB2312"/>
          <w:sz w:val="32"/>
          <w:szCs w:val="32"/>
        </w:rPr>
        <w:t>各级注册税务师协会、税务师事务所及其涉税服务人员要进一步落实《国家税务总局关于进一步动员社会力量深入开展税收志愿服务的指导意见》（税总发〔2021〕15号），以习近平新时代中国特色社会主义思想为指导，践行“奉献、友爱、互助、进步”的志愿服务精神，积极与税务机关沟通，联系民政部门、共青团、慈善总会等组织，动员各方力量广泛参与志愿服务，不断壮大税务师志愿者服务队伍，持续提升行业美誉度和社会影响力。</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（二）持续深化志愿服务活动。</w:t>
      </w:r>
      <w:r>
        <w:rPr>
          <w:rFonts w:hint="eastAsia" w:ascii="仿宋_GB2312" w:hAnsi="仿宋_GB2312" w:eastAsia="仿宋_GB2312" w:cs="仿宋_GB2312"/>
          <w:sz w:val="32"/>
          <w:szCs w:val="32"/>
        </w:rPr>
        <w:t>税务师事务所要以积极参与“便民办税春风行动”为契机，增强“春风有我”的责任意识，围绕政策落实、权益保护、精细服务等各项工作，通过同心服务团、公益专家讲堂、公益专家咨询、税费志愿服务和税费服务体验师、咨询辅导员等多种形式开展系列税收志愿服务活动，推动税收志愿服务提档升级，助力优化税收营商环境，深化拓展税收共治格局。</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（三）积极服务重点帮扶群体。</w:t>
      </w:r>
      <w:r>
        <w:rPr>
          <w:rFonts w:hint="eastAsia" w:ascii="仿宋_GB2312" w:hAnsi="仿宋_GB2312" w:eastAsia="仿宋_GB2312" w:cs="仿宋_GB2312"/>
          <w:sz w:val="32"/>
          <w:szCs w:val="32"/>
        </w:rPr>
        <w:t>各级注册税务师协会要组织和指导税务师事务所关注老年人、残疾人、困难群众等特殊人员，及时提供税费咨询、业务指引、协助办税等帮扶志愿服务。根据业务发展需要实施帮扶助农行动，聚焦乡村振兴重点扶持对象提供税费政策辅导和财税管理咨询。通过进校园、进企业等方式为大学生创业提供涉税服务支持，拓展就业实践体验渠道。</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（四）广泛开展社会公益服务。</w:t>
      </w:r>
      <w:r>
        <w:rPr>
          <w:rFonts w:hint="eastAsia" w:ascii="仿宋_GB2312" w:hAnsi="仿宋_GB2312" w:eastAsia="仿宋_GB2312" w:cs="仿宋_GB2312"/>
          <w:sz w:val="32"/>
          <w:szCs w:val="32"/>
        </w:rPr>
        <w:t>各级注册税务师协会要组织和推动税务师事务所及其人员积极参与社区志愿服务活动、职工志愿服务活动、青年志愿者行动、巾帼和家庭志愿服务活动、科普志愿服务活动、扶残助残志愿服务活动、人道救助志愿服务活动等各类志愿服务活动，进一步服务经济发展、促进社会和谐。</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三、顺应市场主体需求 促进涉税专业服务提档升级</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（一）聚焦重点领域开展精细化服务。</w:t>
      </w:r>
      <w:r>
        <w:rPr>
          <w:rFonts w:hint="eastAsia" w:ascii="仿宋_GB2312" w:hAnsi="仿宋_GB2312" w:eastAsia="仿宋_GB2312" w:cs="仿宋_GB2312"/>
          <w:sz w:val="32"/>
          <w:szCs w:val="32"/>
        </w:rPr>
        <w:t>税务师事务所要聚焦重点行业、重点业务及专项行动，发挥“利企、利税、利市场”的支撑作用，以高质量的涉税专业服务供给助力税费服务提档升级、税费红利精准落地。重点协助解答个人所得税汇算清缴专项附加扣除政策以及申报常见问题，为小微企业、个体工商户和重点群体创业就业提供税收优惠政策咨询服务。帮助科技创新、制造业等企业充分享受税费优惠红利，做好备案备查资料管理，防范涉税风险，用好政策红利，提振发展信心。为大企业完善税务管理和合规建设，服务“一带一路”建设，开展跨境合规审核、跨境员工税收服务并协助解决跨境税收争议。</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（二）充分利用便利化服务措施。</w:t>
      </w:r>
      <w:r>
        <w:rPr>
          <w:rFonts w:hint="eastAsia" w:ascii="仿宋_GB2312" w:hAnsi="仿宋_GB2312" w:eastAsia="仿宋_GB2312" w:cs="仿宋_GB2312"/>
          <w:sz w:val="32"/>
          <w:szCs w:val="32"/>
        </w:rPr>
        <w:t>税务师事务所要帮助纳税人缴费人及时了解税务机关的创新服务方式和“非接触”式办税缴费流程，在跨区域涉税事项报告、跨境涉税服务等方面更新优化代理办税流程。充分利用涉税服务专厅或专窗等涉税专业服务专属办税通道，进一步发挥税务师事务所涉税专业服务信用和纳税信用优势，在电子税务局开展批量代理申报，通过“一站式”、“批量式”代理办税等务实高效的措施，为纳税人缴费人带来更多便捷，不断提高涉税服务质效。</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（三）加快涉税服务产品创新。</w:t>
      </w:r>
      <w:r>
        <w:rPr>
          <w:rFonts w:hint="eastAsia" w:ascii="仿宋_GB2312" w:hAnsi="仿宋_GB2312" w:eastAsia="仿宋_GB2312" w:cs="仿宋_GB2312"/>
          <w:sz w:val="32"/>
          <w:szCs w:val="32"/>
        </w:rPr>
        <w:t>税务师事务所要持续释放创新动能，激发各类市场主体创新活力。不仅要在纳税申报代理、税务咨询、涉税鉴证等传统业务上下功夫，更要在促进科技创新、共同富裕、区域发展、绿色税收、国际贸易等特色服务上做文章。要发挥税务师业务+技术的优势，推动企业业务、财务、税务一体化融合，协助纳税人缴费人建设“业财税”综合管理一体化平台。通过提供智能化的税企直连辅导咨询服务，帮助纳税人在数字化电子发票等涉税服务平台进行直连申报。</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（四）持续落实三方沟通机制。</w:t>
      </w:r>
      <w:r>
        <w:rPr>
          <w:rFonts w:hint="eastAsia" w:ascii="仿宋_GB2312" w:hAnsi="仿宋_GB2312" w:eastAsia="仿宋_GB2312" w:cs="仿宋_GB2312"/>
          <w:sz w:val="32"/>
          <w:szCs w:val="32"/>
        </w:rPr>
        <w:t>各级注册税务师协会及税务师事务所要积极落实涉税专业服务三方沟通机制，聚焦办税缴费高频事项、热点诉求和难点问题，协助税务机关有针对性地开展税费优惠政策宣传辅导，收集纳税人缴费人在税费支持政策落实方面的问题、意见和建议并及时向税务机关反馈，推动搭建三方沟通交流、规范发展的工作平台和桥梁纽带。</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四、强化风险管理意识 完善合规治理体系</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（一）积极配合涉税专业服务管理模式转变。</w:t>
      </w:r>
      <w:r>
        <w:rPr>
          <w:rFonts w:hint="eastAsia" w:ascii="仿宋_GB2312" w:hAnsi="仿宋_GB2312" w:eastAsia="仿宋_GB2312" w:cs="仿宋_GB2312"/>
          <w:sz w:val="32"/>
          <w:szCs w:val="32"/>
        </w:rPr>
        <w:t>当前税务部门正在有序推行涉税专业服务集中管理，逐步实现涉税专业服务机构“一个部门扎口管或一批人员专业管”。各级注册税务师协会要督促税务师事务所持续落实涉税专业服务行政监管和税务师行业自律管理的各项规定要求，做好行政登记、执业管理、业务报备各项工作，建立内部风险防控机制，强化执业质量控制，持续提升一体化管理水平。</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（二）及时适应涉税专业服务管理措施优化。</w:t>
      </w:r>
      <w:r>
        <w:rPr>
          <w:rFonts w:hint="eastAsia" w:ascii="仿宋_GB2312" w:hAnsi="仿宋_GB2312" w:eastAsia="仿宋_GB2312" w:cs="仿宋_GB2312"/>
          <w:sz w:val="32"/>
          <w:szCs w:val="32"/>
        </w:rPr>
        <w:t>为进一步夯实税费服务供给基础，今年税务部门将重点构建税务代理人员识别指标，完善涉税专业服务机构及其人员基础信息。税务师事务所及其人员要按照纳税申报和涉税专业服务管理要求以真实身份开展业务，严格落实涉税服务基本信息和业务信息报送有关规定，努力提升自身涉税专业服务信用等级，同时通过优质服务帮助纳税人提升纳税信用和纳税遵从，持续释放涉税专业服务乘数效应。</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（三）及时调整完善行业自律管理措施。</w:t>
      </w:r>
      <w:r>
        <w:rPr>
          <w:rFonts w:hint="eastAsia" w:ascii="仿宋_GB2312" w:hAnsi="仿宋_GB2312" w:eastAsia="仿宋_GB2312" w:cs="仿宋_GB2312"/>
          <w:sz w:val="32"/>
          <w:szCs w:val="32"/>
        </w:rPr>
        <w:t>各级注册税务师协会要根据涉税专业服务管理新形势、新要求，持续修订完善行业自律管理制度，指导税务师事务所强化对业务规范和职业道德规范的执行力度，优化代理办税服务流程，提升服务质效，防范涉税风险。及时完善会员基础数据和诚信档案，并按规定向税务机关报送和交流自律管理信息，有效开展管理数据分析和运用，不断提升行业协会自律管理水平。</w:t>
      </w:r>
    </w:p>
    <w:p/>
    <w:p/>
    <w:p>
      <w:pPr>
        <w:spacing w:line="360" w:lineRule="auto"/>
        <w:ind w:firstLine="640" w:firstLineChars="200"/>
        <w:rPr>
          <w:rFonts w:ascii="仿宋" w:hAnsi="仿宋" w:eastAsia="仿宋"/>
          <w:sz w:val="32"/>
          <w:szCs w:val="32"/>
        </w:rPr>
      </w:pPr>
    </w:p>
    <w:p>
      <w:pPr>
        <w:ind w:right="-321"/>
        <w:rPr>
          <w:rFonts w:ascii="仿宋" w:hAnsi="仿宋" w:eastAsia="仿宋"/>
          <w:sz w:val="28"/>
          <w:szCs w:val="28"/>
        </w:rPr>
      </w:pPr>
      <w:bookmarkStart w:id="3" w:name="_GoBack"/>
      <w:bookmarkEnd w:id="3"/>
      <w:bookmarkStart w:id="2" w:name="校对"/>
      <w:bookmarkEnd w:id="2"/>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OTI3MTZjYTY2ZmI5YjA2ZjI5NGVkNGMxZmYzZDEifQ=="/>
  </w:docVars>
  <w:rsids>
    <w:rsidRoot w:val="00825CB7"/>
    <w:rsid w:val="000006E5"/>
    <w:rsid w:val="00000D66"/>
    <w:rsid w:val="000016DC"/>
    <w:rsid w:val="00004D78"/>
    <w:rsid w:val="000147CC"/>
    <w:rsid w:val="00025CD9"/>
    <w:rsid w:val="000343F6"/>
    <w:rsid w:val="00041FE3"/>
    <w:rsid w:val="00045D54"/>
    <w:rsid w:val="00050FA2"/>
    <w:rsid w:val="00064BC4"/>
    <w:rsid w:val="00070B5A"/>
    <w:rsid w:val="0007319A"/>
    <w:rsid w:val="000907AF"/>
    <w:rsid w:val="00091ADE"/>
    <w:rsid w:val="00092D79"/>
    <w:rsid w:val="00092F2F"/>
    <w:rsid w:val="00095B31"/>
    <w:rsid w:val="00096187"/>
    <w:rsid w:val="000A0F53"/>
    <w:rsid w:val="000B0DA3"/>
    <w:rsid w:val="000B11E5"/>
    <w:rsid w:val="000B2FDF"/>
    <w:rsid w:val="000B3153"/>
    <w:rsid w:val="000B5A24"/>
    <w:rsid w:val="000B789F"/>
    <w:rsid w:val="000B7DC2"/>
    <w:rsid w:val="000C292F"/>
    <w:rsid w:val="000C3FCA"/>
    <w:rsid w:val="000C51FF"/>
    <w:rsid w:val="000D21C7"/>
    <w:rsid w:val="000D39E0"/>
    <w:rsid w:val="000E1224"/>
    <w:rsid w:val="000E3519"/>
    <w:rsid w:val="000F049E"/>
    <w:rsid w:val="000F4EDE"/>
    <w:rsid w:val="001010EC"/>
    <w:rsid w:val="0010121D"/>
    <w:rsid w:val="00102B1C"/>
    <w:rsid w:val="00115762"/>
    <w:rsid w:val="00117A87"/>
    <w:rsid w:val="001200C3"/>
    <w:rsid w:val="001205D7"/>
    <w:rsid w:val="00124510"/>
    <w:rsid w:val="0012733A"/>
    <w:rsid w:val="001335CC"/>
    <w:rsid w:val="00143886"/>
    <w:rsid w:val="0015527B"/>
    <w:rsid w:val="00155372"/>
    <w:rsid w:val="00157B96"/>
    <w:rsid w:val="0016059C"/>
    <w:rsid w:val="00161B47"/>
    <w:rsid w:val="00171C79"/>
    <w:rsid w:val="0018158D"/>
    <w:rsid w:val="00192890"/>
    <w:rsid w:val="00192DC6"/>
    <w:rsid w:val="00192E56"/>
    <w:rsid w:val="001957AA"/>
    <w:rsid w:val="001A1C0C"/>
    <w:rsid w:val="001A42B8"/>
    <w:rsid w:val="001A4699"/>
    <w:rsid w:val="001A6D29"/>
    <w:rsid w:val="001B4209"/>
    <w:rsid w:val="001B5032"/>
    <w:rsid w:val="001B6188"/>
    <w:rsid w:val="001B79B0"/>
    <w:rsid w:val="001C0767"/>
    <w:rsid w:val="001C128F"/>
    <w:rsid w:val="001C1436"/>
    <w:rsid w:val="001C22E5"/>
    <w:rsid w:val="001C4C30"/>
    <w:rsid w:val="001C6F3A"/>
    <w:rsid w:val="001D0AA4"/>
    <w:rsid w:val="001D514E"/>
    <w:rsid w:val="001E1310"/>
    <w:rsid w:val="001E66B3"/>
    <w:rsid w:val="001F4D0F"/>
    <w:rsid w:val="001F5B1A"/>
    <w:rsid w:val="00200288"/>
    <w:rsid w:val="0020227D"/>
    <w:rsid w:val="002025FC"/>
    <w:rsid w:val="00205758"/>
    <w:rsid w:val="00214811"/>
    <w:rsid w:val="00221B6B"/>
    <w:rsid w:val="00224B1F"/>
    <w:rsid w:val="0022674D"/>
    <w:rsid w:val="00226F45"/>
    <w:rsid w:val="00227376"/>
    <w:rsid w:val="00227B3D"/>
    <w:rsid w:val="002364F6"/>
    <w:rsid w:val="00240EE0"/>
    <w:rsid w:val="002416EC"/>
    <w:rsid w:val="00242733"/>
    <w:rsid w:val="00256126"/>
    <w:rsid w:val="002604EC"/>
    <w:rsid w:val="002647DC"/>
    <w:rsid w:val="0026747E"/>
    <w:rsid w:val="00275C0C"/>
    <w:rsid w:val="00283E3D"/>
    <w:rsid w:val="00285EBF"/>
    <w:rsid w:val="00291ABF"/>
    <w:rsid w:val="0029383B"/>
    <w:rsid w:val="00295B74"/>
    <w:rsid w:val="002A2C1A"/>
    <w:rsid w:val="002A2E1E"/>
    <w:rsid w:val="002A3766"/>
    <w:rsid w:val="002A7344"/>
    <w:rsid w:val="002B3C8E"/>
    <w:rsid w:val="002B3E74"/>
    <w:rsid w:val="002B4527"/>
    <w:rsid w:val="002C4730"/>
    <w:rsid w:val="002C7796"/>
    <w:rsid w:val="002D6AC3"/>
    <w:rsid w:val="002F3358"/>
    <w:rsid w:val="002F4540"/>
    <w:rsid w:val="00300A10"/>
    <w:rsid w:val="00305EE3"/>
    <w:rsid w:val="003141A7"/>
    <w:rsid w:val="0031594D"/>
    <w:rsid w:val="003326D0"/>
    <w:rsid w:val="00334C84"/>
    <w:rsid w:val="0034015E"/>
    <w:rsid w:val="00342F1B"/>
    <w:rsid w:val="003436D5"/>
    <w:rsid w:val="003506A4"/>
    <w:rsid w:val="003538C6"/>
    <w:rsid w:val="00353DDE"/>
    <w:rsid w:val="00355EC6"/>
    <w:rsid w:val="003614F1"/>
    <w:rsid w:val="00361A15"/>
    <w:rsid w:val="003651AF"/>
    <w:rsid w:val="003657CD"/>
    <w:rsid w:val="003772B6"/>
    <w:rsid w:val="00381817"/>
    <w:rsid w:val="00381FB3"/>
    <w:rsid w:val="0038506C"/>
    <w:rsid w:val="003877EE"/>
    <w:rsid w:val="00390FB6"/>
    <w:rsid w:val="00391029"/>
    <w:rsid w:val="00391039"/>
    <w:rsid w:val="00393844"/>
    <w:rsid w:val="003A25FF"/>
    <w:rsid w:val="003A4213"/>
    <w:rsid w:val="003A7696"/>
    <w:rsid w:val="003B536A"/>
    <w:rsid w:val="003B638E"/>
    <w:rsid w:val="003D198F"/>
    <w:rsid w:val="003D2203"/>
    <w:rsid w:val="003D29BC"/>
    <w:rsid w:val="003D644D"/>
    <w:rsid w:val="003D7F2D"/>
    <w:rsid w:val="003E2A36"/>
    <w:rsid w:val="003E2F93"/>
    <w:rsid w:val="003E7C8E"/>
    <w:rsid w:val="0040098A"/>
    <w:rsid w:val="004014A1"/>
    <w:rsid w:val="004115D4"/>
    <w:rsid w:val="00411FE6"/>
    <w:rsid w:val="004128C7"/>
    <w:rsid w:val="00413982"/>
    <w:rsid w:val="00416B75"/>
    <w:rsid w:val="00422917"/>
    <w:rsid w:val="004275C0"/>
    <w:rsid w:val="00432BC8"/>
    <w:rsid w:val="004356AC"/>
    <w:rsid w:val="004415CC"/>
    <w:rsid w:val="004469DA"/>
    <w:rsid w:val="004507F8"/>
    <w:rsid w:val="004522C4"/>
    <w:rsid w:val="00453421"/>
    <w:rsid w:val="0045576E"/>
    <w:rsid w:val="004569B9"/>
    <w:rsid w:val="004627B7"/>
    <w:rsid w:val="00466727"/>
    <w:rsid w:val="00466E3E"/>
    <w:rsid w:val="00470575"/>
    <w:rsid w:val="004713AD"/>
    <w:rsid w:val="00477990"/>
    <w:rsid w:val="00483C9B"/>
    <w:rsid w:val="00491329"/>
    <w:rsid w:val="00494003"/>
    <w:rsid w:val="004A6B77"/>
    <w:rsid w:val="004A73DF"/>
    <w:rsid w:val="004B04F3"/>
    <w:rsid w:val="004B6017"/>
    <w:rsid w:val="004C54DF"/>
    <w:rsid w:val="004D4563"/>
    <w:rsid w:val="004E2D15"/>
    <w:rsid w:val="004E4A42"/>
    <w:rsid w:val="004F675A"/>
    <w:rsid w:val="00501265"/>
    <w:rsid w:val="00501F4E"/>
    <w:rsid w:val="00505484"/>
    <w:rsid w:val="0051681A"/>
    <w:rsid w:val="00516FA7"/>
    <w:rsid w:val="005202CD"/>
    <w:rsid w:val="005258ED"/>
    <w:rsid w:val="00530BA1"/>
    <w:rsid w:val="00534100"/>
    <w:rsid w:val="0053508C"/>
    <w:rsid w:val="00536013"/>
    <w:rsid w:val="00536DEF"/>
    <w:rsid w:val="00540A1A"/>
    <w:rsid w:val="005412B5"/>
    <w:rsid w:val="0055113F"/>
    <w:rsid w:val="0055427D"/>
    <w:rsid w:val="00556730"/>
    <w:rsid w:val="00562606"/>
    <w:rsid w:val="00567948"/>
    <w:rsid w:val="005710DB"/>
    <w:rsid w:val="00585DC6"/>
    <w:rsid w:val="00586CE4"/>
    <w:rsid w:val="00587803"/>
    <w:rsid w:val="005B0BD0"/>
    <w:rsid w:val="005B7FBE"/>
    <w:rsid w:val="005C1ABC"/>
    <w:rsid w:val="005C25EF"/>
    <w:rsid w:val="005D4521"/>
    <w:rsid w:val="005F6604"/>
    <w:rsid w:val="00603FBB"/>
    <w:rsid w:val="00611185"/>
    <w:rsid w:val="00614C52"/>
    <w:rsid w:val="00622491"/>
    <w:rsid w:val="006237A5"/>
    <w:rsid w:val="00632A2A"/>
    <w:rsid w:val="006354B2"/>
    <w:rsid w:val="00635700"/>
    <w:rsid w:val="00636124"/>
    <w:rsid w:val="00646155"/>
    <w:rsid w:val="006546E9"/>
    <w:rsid w:val="00664428"/>
    <w:rsid w:val="006702E8"/>
    <w:rsid w:val="00674CC9"/>
    <w:rsid w:val="00676A30"/>
    <w:rsid w:val="0068318D"/>
    <w:rsid w:val="006841C2"/>
    <w:rsid w:val="0069130C"/>
    <w:rsid w:val="00692291"/>
    <w:rsid w:val="00692A64"/>
    <w:rsid w:val="00694B83"/>
    <w:rsid w:val="00696345"/>
    <w:rsid w:val="00697908"/>
    <w:rsid w:val="006A449A"/>
    <w:rsid w:val="006A5FA7"/>
    <w:rsid w:val="006B39C4"/>
    <w:rsid w:val="006B6EFE"/>
    <w:rsid w:val="006B71A1"/>
    <w:rsid w:val="006B743F"/>
    <w:rsid w:val="006C015C"/>
    <w:rsid w:val="006C2736"/>
    <w:rsid w:val="006C4E6E"/>
    <w:rsid w:val="006C5B3A"/>
    <w:rsid w:val="006C6CB8"/>
    <w:rsid w:val="006D16A1"/>
    <w:rsid w:val="006D386C"/>
    <w:rsid w:val="006D6A26"/>
    <w:rsid w:val="006E1D73"/>
    <w:rsid w:val="006E2560"/>
    <w:rsid w:val="006E43D7"/>
    <w:rsid w:val="006E7A42"/>
    <w:rsid w:val="006F3698"/>
    <w:rsid w:val="006F78D6"/>
    <w:rsid w:val="0070321E"/>
    <w:rsid w:val="00704096"/>
    <w:rsid w:val="00707B54"/>
    <w:rsid w:val="007120B5"/>
    <w:rsid w:val="00713F00"/>
    <w:rsid w:val="007145E5"/>
    <w:rsid w:val="00721474"/>
    <w:rsid w:val="007254AC"/>
    <w:rsid w:val="007255FE"/>
    <w:rsid w:val="007258CF"/>
    <w:rsid w:val="007277E9"/>
    <w:rsid w:val="00727D5E"/>
    <w:rsid w:val="007340E1"/>
    <w:rsid w:val="00746CE2"/>
    <w:rsid w:val="00746CFC"/>
    <w:rsid w:val="007547A8"/>
    <w:rsid w:val="00754972"/>
    <w:rsid w:val="00757990"/>
    <w:rsid w:val="007626DF"/>
    <w:rsid w:val="00765029"/>
    <w:rsid w:val="00765AC5"/>
    <w:rsid w:val="007678D9"/>
    <w:rsid w:val="00767C07"/>
    <w:rsid w:val="00770E96"/>
    <w:rsid w:val="00777A78"/>
    <w:rsid w:val="00782EE4"/>
    <w:rsid w:val="00786A8B"/>
    <w:rsid w:val="007872E2"/>
    <w:rsid w:val="00792280"/>
    <w:rsid w:val="007942FC"/>
    <w:rsid w:val="007972D0"/>
    <w:rsid w:val="00797B17"/>
    <w:rsid w:val="007A1284"/>
    <w:rsid w:val="007A6772"/>
    <w:rsid w:val="007B304C"/>
    <w:rsid w:val="007B584E"/>
    <w:rsid w:val="007C3C8D"/>
    <w:rsid w:val="007C70DC"/>
    <w:rsid w:val="007D3C90"/>
    <w:rsid w:val="007D4498"/>
    <w:rsid w:val="007E5DC2"/>
    <w:rsid w:val="007F03F6"/>
    <w:rsid w:val="007F1DC3"/>
    <w:rsid w:val="007F3105"/>
    <w:rsid w:val="007F7FC8"/>
    <w:rsid w:val="008035A0"/>
    <w:rsid w:val="00806B45"/>
    <w:rsid w:val="008116A1"/>
    <w:rsid w:val="00811D60"/>
    <w:rsid w:val="00816505"/>
    <w:rsid w:val="00825CB7"/>
    <w:rsid w:val="00827963"/>
    <w:rsid w:val="00832D06"/>
    <w:rsid w:val="00833973"/>
    <w:rsid w:val="008341B8"/>
    <w:rsid w:val="00836D54"/>
    <w:rsid w:val="008555BE"/>
    <w:rsid w:val="0085660B"/>
    <w:rsid w:val="0087090C"/>
    <w:rsid w:val="00875E33"/>
    <w:rsid w:val="008813EC"/>
    <w:rsid w:val="00881E17"/>
    <w:rsid w:val="0088268C"/>
    <w:rsid w:val="00884D7A"/>
    <w:rsid w:val="00890DD0"/>
    <w:rsid w:val="00892D95"/>
    <w:rsid w:val="00894860"/>
    <w:rsid w:val="008A552D"/>
    <w:rsid w:val="008B2765"/>
    <w:rsid w:val="008B2AB4"/>
    <w:rsid w:val="008B3B7A"/>
    <w:rsid w:val="008B3EB9"/>
    <w:rsid w:val="008B6B6E"/>
    <w:rsid w:val="008C072C"/>
    <w:rsid w:val="008C6071"/>
    <w:rsid w:val="008C7389"/>
    <w:rsid w:val="008D3DFF"/>
    <w:rsid w:val="008D4752"/>
    <w:rsid w:val="008D7AD7"/>
    <w:rsid w:val="008E1B55"/>
    <w:rsid w:val="008E3185"/>
    <w:rsid w:val="008E366B"/>
    <w:rsid w:val="008F1B04"/>
    <w:rsid w:val="00912679"/>
    <w:rsid w:val="009129B5"/>
    <w:rsid w:val="00921C3C"/>
    <w:rsid w:val="00927FBE"/>
    <w:rsid w:val="00930373"/>
    <w:rsid w:val="00932103"/>
    <w:rsid w:val="009336E7"/>
    <w:rsid w:val="00942249"/>
    <w:rsid w:val="0095248E"/>
    <w:rsid w:val="009554D1"/>
    <w:rsid w:val="00955B25"/>
    <w:rsid w:val="00957C8F"/>
    <w:rsid w:val="00966024"/>
    <w:rsid w:val="009671F8"/>
    <w:rsid w:val="00967C82"/>
    <w:rsid w:val="00970694"/>
    <w:rsid w:val="009748B5"/>
    <w:rsid w:val="00990226"/>
    <w:rsid w:val="009915AF"/>
    <w:rsid w:val="0099209C"/>
    <w:rsid w:val="0099443B"/>
    <w:rsid w:val="00994CFE"/>
    <w:rsid w:val="00996A46"/>
    <w:rsid w:val="009A5890"/>
    <w:rsid w:val="009B1D5F"/>
    <w:rsid w:val="009B2412"/>
    <w:rsid w:val="009B6335"/>
    <w:rsid w:val="009C1170"/>
    <w:rsid w:val="009C5EB9"/>
    <w:rsid w:val="009C6679"/>
    <w:rsid w:val="009D1277"/>
    <w:rsid w:val="009D376F"/>
    <w:rsid w:val="009F0BA2"/>
    <w:rsid w:val="009F1808"/>
    <w:rsid w:val="009F626B"/>
    <w:rsid w:val="009F64FE"/>
    <w:rsid w:val="00A029E8"/>
    <w:rsid w:val="00A17E18"/>
    <w:rsid w:val="00A17F03"/>
    <w:rsid w:val="00A2314C"/>
    <w:rsid w:val="00A23F47"/>
    <w:rsid w:val="00A27219"/>
    <w:rsid w:val="00A307F0"/>
    <w:rsid w:val="00A30C1D"/>
    <w:rsid w:val="00A35685"/>
    <w:rsid w:val="00A35D0D"/>
    <w:rsid w:val="00A35E62"/>
    <w:rsid w:val="00A453D3"/>
    <w:rsid w:val="00A47FF8"/>
    <w:rsid w:val="00A54CD6"/>
    <w:rsid w:val="00A570A9"/>
    <w:rsid w:val="00A60620"/>
    <w:rsid w:val="00A66181"/>
    <w:rsid w:val="00A80AC1"/>
    <w:rsid w:val="00A8628D"/>
    <w:rsid w:val="00A95E41"/>
    <w:rsid w:val="00A96129"/>
    <w:rsid w:val="00AA3280"/>
    <w:rsid w:val="00AA5D18"/>
    <w:rsid w:val="00AA662E"/>
    <w:rsid w:val="00AA74C7"/>
    <w:rsid w:val="00AA7D7E"/>
    <w:rsid w:val="00AB0714"/>
    <w:rsid w:val="00AB1FC3"/>
    <w:rsid w:val="00AC110D"/>
    <w:rsid w:val="00AC31C7"/>
    <w:rsid w:val="00AC65E9"/>
    <w:rsid w:val="00AD4A51"/>
    <w:rsid w:val="00AD4B8E"/>
    <w:rsid w:val="00AD7B2A"/>
    <w:rsid w:val="00AE10DF"/>
    <w:rsid w:val="00AE132F"/>
    <w:rsid w:val="00AE344E"/>
    <w:rsid w:val="00AE4CBB"/>
    <w:rsid w:val="00AF1DBD"/>
    <w:rsid w:val="00AF5B2E"/>
    <w:rsid w:val="00AF6E44"/>
    <w:rsid w:val="00B02250"/>
    <w:rsid w:val="00B0792E"/>
    <w:rsid w:val="00B1785F"/>
    <w:rsid w:val="00B24E9B"/>
    <w:rsid w:val="00B271D6"/>
    <w:rsid w:val="00B328F3"/>
    <w:rsid w:val="00B351A1"/>
    <w:rsid w:val="00B355E0"/>
    <w:rsid w:val="00B36267"/>
    <w:rsid w:val="00B36B6A"/>
    <w:rsid w:val="00B378FC"/>
    <w:rsid w:val="00B4369C"/>
    <w:rsid w:val="00B445F4"/>
    <w:rsid w:val="00B60E6E"/>
    <w:rsid w:val="00B6356B"/>
    <w:rsid w:val="00B654E3"/>
    <w:rsid w:val="00B67919"/>
    <w:rsid w:val="00B7531B"/>
    <w:rsid w:val="00B7692F"/>
    <w:rsid w:val="00B87880"/>
    <w:rsid w:val="00B87BE4"/>
    <w:rsid w:val="00B9115F"/>
    <w:rsid w:val="00B95C09"/>
    <w:rsid w:val="00BA1345"/>
    <w:rsid w:val="00BA53D3"/>
    <w:rsid w:val="00BB5B28"/>
    <w:rsid w:val="00BC03D6"/>
    <w:rsid w:val="00BC0BF8"/>
    <w:rsid w:val="00BC303D"/>
    <w:rsid w:val="00BC3485"/>
    <w:rsid w:val="00BC34E1"/>
    <w:rsid w:val="00BD4BDB"/>
    <w:rsid w:val="00BD4BE3"/>
    <w:rsid w:val="00BD6DD2"/>
    <w:rsid w:val="00BD75D6"/>
    <w:rsid w:val="00BF3809"/>
    <w:rsid w:val="00C02003"/>
    <w:rsid w:val="00C04FCE"/>
    <w:rsid w:val="00C057F5"/>
    <w:rsid w:val="00C05889"/>
    <w:rsid w:val="00C1213C"/>
    <w:rsid w:val="00C14E22"/>
    <w:rsid w:val="00C15934"/>
    <w:rsid w:val="00C15FA7"/>
    <w:rsid w:val="00C24B9B"/>
    <w:rsid w:val="00C25502"/>
    <w:rsid w:val="00C25862"/>
    <w:rsid w:val="00C26D0E"/>
    <w:rsid w:val="00C3720D"/>
    <w:rsid w:val="00C40B10"/>
    <w:rsid w:val="00C42F7B"/>
    <w:rsid w:val="00C470C8"/>
    <w:rsid w:val="00C5250D"/>
    <w:rsid w:val="00C52515"/>
    <w:rsid w:val="00C56834"/>
    <w:rsid w:val="00C64C35"/>
    <w:rsid w:val="00C80F73"/>
    <w:rsid w:val="00C831E7"/>
    <w:rsid w:val="00C83ADD"/>
    <w:rsid w:val="00C8619F"/>
    <w:rsid w:val="00C86E7E"/>
    <w:rsid w:val="00C91FBE"/>
    <w:rsid w:val="00CA1807"/>
    <w:rsid w:val="00CA4276"/>
    <w:rsid w:val="00CA6B79"/>
    <w:rsid w:val="00CB2096"/>
    <w:rsid w:val="00CB366F"/>
    <w:rsid w:val="00CB51F5"/>
    <w:rsid w:val="00CB5DA0"/>
    <w:rsid w:val="00CB7DAA"/>
    <w:rsid w:val="00CC29BC"/>
    <w:rsid w:val="00CC2BD2"/>
    <w:rsid w:val="00CC53A1"/>
    <w:rsid w:val="00CD0487"/>
    <w:rsid w:val="00CD7925"/>
    <w:rsid w:val="00CD7D0F"/>
    <w:rsid w:val="00CE1789"/>
    <w:rsid w:val="00CE4F95"/>
    <w:rsid w:val="00CE7B09"/>
    <w:rsid w:val="00CF1FD1"/>
    <w:rsid w:val="00CF245B"/>
    <w:rsid w:val="00CF41BC"/>
    <w:rsid w:val="00CF51BD"/>
    <w:rsid w:val="00CF67AD"/>
    <w:rsid w:val="00D04AF6"/>
    <w:rsid w:val="00D1291E"/>
    <w:rsid w:val="00D21978"/>
    <w:rsid w:val="00D25732"/>
    <w:rsid w:val="00D262B1"/>
    <w:rsid w:val="00D31B8A"/>
    <w:rsid w:val="00D33DB0"/>
    <w:rsid w:val="00D367BC"/>
    <w:rsid w:val="00D40C1B"/>
    <w:rsid w:val="00D44958"/>
    <w:rsid w:val="00D51ECD"/>
    <w:rsid w:val="00D5677A"/>
    <w:rsid w:val="00D56986"/>
    <w:rsid w:val="00D60100"/>
    <w:rsid w:val="00D627AE"/>
    <w:rsid w:val="00D652DE"/>
    <w:rsid w:val="00D71739"/>
    <w:rsid w:val="00D72697"/>
    <w:rsid w:val="00D73455"/>
    <w:rsid w:val="00D73D0D"/>
    <w:rsid w:val="00D77D50"/>
    <w:rsid w:val="00D86A4A"/>
    <w:rsid w:val="00D911E5"/>
    <w:rsid w:val="00D95DA1"/>
    <w:rsid w:val="00DA165A"/>
    <w:rsid w:val="00DA367E"/>
    <w:rsid w:val="00DA389F"/>
    <w:rsid w:val="00DA4512"/>
    <w:rsid w:val="00DA50D3"/>
    <w:rsid w:val="00DB3A0F"/>
    <w:rsid w:val="00DB47B2"/>
    <w:rsid w:val="00DB619B"/>
    <w:rsid w:val="00DC1D01"/>
    <w:rsid w:val="00DD26C0"/>
    <w:rsid w:val="00DD3CFB"/>
    <w:rsid w:val="00DE1423"/>
    <w:rsid w:val="00DE28F0"/>
    <w:rsid w:val="00DE385C"/>
    <w:rsid w:val="00DE72B7"/>
    <w:rsid w:val="00DF55A7"/>
    <w:rsid w:val="00E00F0F"/>
    <w:rsid w:val="00E1119A"/>
    <w:rsid w:val="00E129D4"/>
    <w:rsid w:val="00E153E6"/>
    <w:rsid w:val="00E2547E"/>
    <w:rsid w:val="00E31801"/>
    <w:rsid w:val="00E334B7"/>
    <w:rsid w:val="00E43DA2"/>
    <w:rsid w:val="00E529C5"/>
    <w:rsid w:val="00E53CDD"/>
    <w:rsid w:val="00E54334"/>
    <w:rsid w:val="00E55752"/>
    <w:rsid w:val="00E604E0"/>
    <w:rsid w:val="00E67B63"/>
    <w:rsid w:val="00E70BAF"/>
    <w:rsid w:val="00E71294"/>
    <w:rsid w:val="00E72F00"/>
    <w:rsid w:val="00E750B4"/>
    <w:rsid w:val="00E81283"/>
    <w:rsid w:val="00E90C1F"/>
    <w:rsid w:val="00EA3E67"/>
    <w:rsid w:val="00EB09F1"/>
    <w:rsid w:val="00EB18BB"/>
    <w:rsid w:val="00EC2E37"/>
    <w:rsid w:val="00ED29CD"/>
    <w:rsid w:val="00EE0407"/>
    <w:rsid w:val="00EE45A1"/>
    <w:rsid w:val="00EF166B"/>
    <w:rsid w:val="00EF29B5"/>
    <w:rsid w:val="00EF3C04"/>
    <w:rsid w:val="00EF3FC1"/>
    <w:rsid w:val="00F002E4"/>
    <w:rsid w:val="00F12386"/>
    <w:rsid w:val="00F155A4"/>
    <w:rsid w:val="00F176BF"/>
    <w:rsid w:val="00F20745"/>
    <w:rsid w:val="00F26756"/>
    <w:rsid w:val="00F26987"/>
    <w:rsid w:val="00F269F7"/>
    <w:rsid w:val="00F27A1E"/>
    <w:rsid w:val="00F320EE"/>
    <w:rsid w:val="00F32DDE"/>
    <w:rsid w:val="00F40A58"/>
    <w:rsid w:val="00F41759"/>
    <w:rsid w:val="00F55A74"/>
    <w:rsid w:val="00F616AB"/>
    <w:rsid w:val="00F64FCB"/>
    <w:rsid w:val="00F6576C"/>
    <w:rsid w:val="00F726D6"/>
    <w:rsid w:val="00F75F4A"/>
    <w:rsid w:val="00F776E9"/>
    <w:rsid w:val="00F8047F"/>
    <w:rsid w:val="00F86895"/>
    <w:rsid w:val="00F915A2"/>
    <w:rsid w:val="00F97EEB"/>
    <w:rsid w:val="00FA2518"/>
    <w:rsid w:val="00FB2339"/>
    <w:rsid w:val="00FC2B0A"/>
    <w:rsid w:val="00FC6FA1"/>
    <w:rsid w:val="00FD15A3"/>
    <w:rsid w:val="00FD3A72"/>
    <w:rsid w:val="00FE764F"/>
    <w:rsid w:val="00FF008E"/>
    <w:rsid w:val="00FF34BB"/>
    <w:rsid w:val="00FF76AC"/>
    <w:rsid w:val="60DF49A1"/>
    <w:rsid w:val="65036F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6"/>
    <w:qFormat/>
    <w:locked/>
    <w:uiPriority w:val="99"/>
    <w:pPr>
      <w:widowControl/>
      <w:spacing w:before="100" w:beforeAutospacing="1" w:after="100" w:afterAutospacing="1"/>
      <w:jc w:val="left"/>
      <w:outlineLvl w:val="0"/>
    </w:pPr>
    <w:rPr>
      <w:rFonts w:ascii="宋体"/>
      <w:b/>
      <w:bCs/>
      <w:color w:val="000000"/>
      <w:kern w:val="36"/>
      <w:sz w:val="48"/>
      <w:szCs w:val="48"/>
    </w:rPr>
  </w:style>
  <w:style w:type="paragraph" w:styleId="3">
    <w:name w:val="heading 2"/>
    <w:basedOn w:val="1"/>
    <w:link w:val="17"/>
    <w:qFormat/>
    <w:locked/>
    <w:uiPriority w:val="99"/>
    <w:pPr>
      <w:widowControl/>
      <w:spacing w:before="100" w:beforeAutospacing="1" w:after="100" w:afterAutospacing="1"/>
      <w:jc w:val="left"/>
      <w:outlineLvl w:val="1"/>
    </w:pPr>
    <w:rPr>
      <w:rFonts w:ascii="宋体"/>
      <w:b/>
      <w:bCs/>
      <w:color w:val="000000"/>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annotation text"/>
    <w:basedOn w:val="1"/>
    <w:link w:val="22"/>
    <w:semiHidden/>
    <w:qFormat/>
    <w:uiPriority w:val="99"/>
    <w:pPr>
      <w:jc w:val="left"/>
    </w:pPr>
    <w:rPr>
      <w:kern w:val="0"/>
      <w:sz w:val="20"/>
      <w:szCs w:val="20"/>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1"/>
    <w:semiHidden/>
    <w:qFormat/>
    <w:uiPriority w:val="99"/>
    <w:rPr>
      <w:kern w:val="0"/>
      <w:sz w:val="18"/>
      <w:szCs w:val="18"/>
    </w:rPr>
  </w:style>
  <w:style w:type="paragraph" w:styleId="8">
    <w:name w:val="footer"/>
    <w:basedOn w:val="1"/>
    <w:link w:val="19"/>
    <w:semiHidden/>
    <w:qFormat/>
    <w:uiPriority w:val="99"/>
    <w:pPr>
      <w:tabs>
        <w:tab w:val="center" w:pos="4153"/>
        <w:tab w:val="right" w:pos="8306"/>
      </w:tabs>
      <w:snapToGrid w:val="0"/>
      <w:jc w:val="left"/>
    </w:pPr>
    <w:rPr>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5"/>
    <w:next w:val="5"/>
    <w:link w:val="23"/>
    <w:semiHidden/>
    <w:qFormat/>
    <w:uiPriority w:val="99"/>
    <w:rPr>
      <w:b/>
      <w:bCs/>
    </w:rPr>
  </w:style>
  <w:style w:type="character" w:styleId="13">
    <w:name w:val="Emphasis"/>
    <w:qFormat/>
    <w:locked/>
    <w:uiPriority w:val="20"/>
    <w:rPr>
      <w:color w:val="CC0000"/>
    </w:rPr>
  </w:style>
  <w:style w:type="character" w:styleId="14">
    <w:name w:val="Hyperlink"/>
    <w:qFormat/>
    <w:uiPriority w:val="99"/>
    <w:rPr>
      <w:rFonts w:cs="Times New Roman"/>
      <w:color w:val="0000FF"/>
      <w:u w:val="single"/>
    </w:rPr>
  </w:style>
  <w:style w:type="character" w:styleId="15">
    <w:name w:val="annotation reference"/>
    <w:semiHidden/>
    <w:qFormat/>
    <w:uiPriority w:val="99"/>
    <w:rPr>
      <w:rFonts w:cs="Times New Roman"/>
      <w:sz w:val="21"/>
      <w:szCs w:val="21"/>
    </w:rPr>
  </w:style>
  <w:style w:type="character" w:customStyle="1" w:styleId="16">
    <w:name w:val="标题 1 Char"/>
    <w:link w:val="2"/>
    <w:qFormat/>
    <w:locked/>
    <w:uiPriority w:val="99"/>
    <w:rPr>
      <w:rFonts w:ascii="宋体" w:eastAsia="宋体" w:cs="宋体"/>
      <w:b/>
      <w:bCs/>
      <w:color w:val="000000"/>
      <w:kern w:val="36"/>
      <w:sz w:val="48"/>
      <w:szCs w:val="48"/>
    </w:rPr>
  </w:style>
  <w:style w:type="character" w:customStyle="1" w:styleId="17">
    <w:name w:val="标题 2 Char"/>
    <w:link w:val="3"/>
    <w:qFormat/>
    <w:locked/>
    <w:uiPriority w:val="99"/>
    <w:rPr>
      <w:rFonts w:ascii="宋体" w:eastAsia="宋体" w:cs="宋体"/>
      <w:b/>
      <w:bCs/>
      <w:color w:val="000000"/>
      <w:sz w:val="36"/>
      <w:szCs w:val="36"/>
    </w:rPr>
  </w:style>
  <w:style w:type="character" w:customStyle="1" w:styleId="18">
    <w:name w:val="页眉 Char"/>
    <w:link w:val="9"/>
    <w:semiHidden/>
    <w:qFormat/>
    <w:locked/>
    <w:uiPriority w:val="99"/>
    <w:rPr>
      <w:rFonts w:cs="Times New Roman"/>
      <w:sz w:val="18"/>
      <w:szCs w:val="18"/>
    </w:rPr>
  </w:style>
  <w:style w:type="character" w:customStyle="1" w:styleId="19">
    <w:name w:val="页脚 Char"/>
    <w:link w:val="8"/>
    <w:semiHidden/>
    <w:qFormat/>
    <w:locked/>
    <w:uiPriority w:val="99"/>
    <w:rPr>
      <w:rFonts w:cs="Times New Roman"/>
      <w:sz w:val="18"/>
      <w:szCs w:val="18"/>
    </w:rPr>
  </w:style>
  <w:style w:type="paragraph" w:styleId="20">
    <w:name w:val="List Paragraph"/>
    <w:basedOn w:val="1"/>
    <w:qFormat/>
    <w:uiPriority w:val="34"/>
    <w:pPr>
      <w:ind w:firstLine="420" w:firstLineChars="200"/>
    </w:pPr>
  </w:style>
  <w:style w:type="character" w:customStyle="1" w:styleId="21">
    <w:name w:val="批注框文本 Char"/>
    <w:link w:val="7"/>
    <w:semiHidden/>
    <w:qFormat/>
    <w:locked/>
    <w:uiPriority w:val="99"/>
    <w:rPr>
      <w:rFonts w:cs="Times New Roman"/>
      <w:sz w:val="18"/>
      <w:szCs w:val="18"/>
    </w:rPr>
  </w:style>
  <w:style w:type="character" w:customStyle="1" w:styleId="22">
    <w:name w:val="批注文字 Char"/>
    <w:link w:val="5"/>
    <w:semiHidden/>
    <w:qFormat/>
    <w:locked/>
    <w:uiPriority w:val="99"/>
    <w:rPr>
      <w:rFonts w:cs="Times New Roman"/>
    </w:rPr>
  </w:style>
  <w:style w:type="character" w:customStyle="1" w:styleId="23">
    <w:name w:val="批注主题 Char"/>
    <w:link w:val="10"/>
    <w:semiHidden/>
    <w:qFormat/>
    <w:locked/>
    <w:uiPriority w:val="99"/>
    <w:rPr>
      <w:rFonts w:cs="Times New Roman"/>
      <w:b/>
      <w:bCs/>
    </w:rPr>
  </w:style>
  <w:style w:type="character" w:customStyle="1" w:styleId="24">
    <w:name w:val="文档结构图 Char"/>
    <w:link w:val="4"/>
    <w:semiHidden/>
    <w:qFormat/>
    <w:uiPriority w:val="99"/>
    <w:rPr>
      <w:rFonts w:ascii="宋体"/>
      <w:kern w:val="2"/>
      <w:sz w:val="18"/>
      <w:szCs w:val="18"/>
    </w:rPr>
  </w:style>
  <w:style w:type="character" w:customStyle="1" w:styleId="25">
    <w:name w:val="已访问的超链接1"/>
    <w:semiHidden/>
    <w:unhideWhenUsed/>
    <w:qFormat/>
    <w:uiPriority w:val="99"/>
    <w:rPr>
      <w:color w:val="800080"/>
      <w:u w:val="single"/>
    </w:rPr>
  </w:style>
  <w:style w:type="paragraph" w:customStyle="1" w:styleId="26">
    <w:name w:val="_Style 25"/>
    <w:hidden/>
    <w:semiHidden/>
    <w:qFormat/>
    <w:uiPriority w:val="99"/>
    <w:rPr>
      <w:rFonts w:ascii="Calibri" w:hAnsi="Calibri" w:eastAsia="宋体" w:cs="Times New Roman"/>
      <w:kern w:val="2"/>
      <w:sz w:val="21"/>
      <w:szCs w:val="22"/>
      <w:lang w:val="en-US" w:eastAsia="zh-CN" w:bidi="ar-SA"/>
    </w:rPr>
  </w:style>
  <w:style w:type="character" w:customStyle="1" w:styleId="27">
    <w:name w:val="日期 Char"/>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中税协</Company>
  <Pages>6</Pages>
  <Words>2870</Words>
  <Characters>2886</Characters>
  <Lines>71</Lines>
  <Paragraphs>29</Paragraphs>
  <TotalTime>0</TotalTime>
  <ScaleCrop>false</ScaleCrop>
  <LinksUpToDate>false</LinksUpToDate>
  <CharactersWithSpaces>2978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2024-04-29T08:52:00Z</dcterms:created>
  <dc:creator>金宁</dc:creator>
  <cp:lastModifiedBy>Juen</cp:lastModifiedBy>
  <cp:lastPrinted>2017-03-06T07:06:00Z</cp:lastPrinted>
  <dcterms:modified xsi:type="dcterms:W3CDTF">2024-05-23T08:35:53Z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8F45B2441228495895F51F1600E6193C_13</vt:lpwstr>
  </property>
</Properties>
</file>